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B5572" w14:textId="55330F5A" w:rsidR="00252250" w:rsidRPr="00252250" w:rsidRDefault="00252250" w:rsidP="00252250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</w:pPr>
      <w:r w:rsidRPr="0025225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 xml:space="preserve">Citas y </w:t>
      </w:r>
      <w:r w:rsidR="00F0362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lista de referencias</w:t>
      </w:r>
      <w:r w:rsidRPr="0025225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: guía básica APA, séptima edición</w:t>
      </w:r>
      <w:r w:rsidR="00F0362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 xml:space="preserve"> (2019)</w:t>
      </w:r>
    </w:p>
    <w:p w14:paraId="4E175877" w14:textId="66FD427A" w:rsidR="006C19BC" w:rsidRDefault="00252250" w:rsidP="0025225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  <w14:ligatures w14:val="none"/>
        </w:rPr>
        <w:t xml:space="preserve">Nau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  <w14:ligatures w14:val="none"/>
        </w:rPr>
        <w:t>Yuumak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solicita a los autores adecuar su manuscrito, antes del envío, de acuerdo con las </w:t>
      </w:r>
      <w:r w:rsidRPr="00252250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es-MX"/>
          <w14:ligatures w14:val="none"/>
        </w:rPr>
        <w:t xml:space="preserve">Normas para </w:t>
      </w:r>
      <w:commentRangeStart w:id="0"/>
      <w:r w:rsidRPr="00252250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es-MX"/>
          <w14:ligatures w14:val="none"/>
        </w:rPr>
        <w:t>publicación</w:t>
      </w:r>
      <w:commentRangeEnd w:id="0"/>
      <w:r>
        <w:rPr>
          <w:rStyle w:val="Refdecomentario"/>
        </w:rPr>
        <w:commentReference w:id="0"/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. Asimismo, el formato de citación deberá </w:t>
      </w:r>
      <w:r w:rsidR="00D57F7E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obedecer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las normas de la APA </w:t>
      </w:r>
      <w:r w:rsidR="00D57F7E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en la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séptima edición</w:t>
      </w:r>
      <w:r w:rsidR="00D57F7E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de su manual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(20</w:t>
      </w:r>
      <w:r w:rsidR="00FF5785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).</w:t>
      </w:r>
      <w:r w:rsidR="00384D3D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Estas utilizan el sistema autor-fecha, en el que la cita en el texto</w:t>
      </w:r>
      <w:r w:rsidR="006C19BC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identifica brevemente la fuente referida y</w:t>
      </w:r>
      <w:r w:rsidR="00384D3D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redirige al lector a una entrada específica en una lista de referencias.</w:t>
      </w:r>
      <w:r w:rsidR="006C19BC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Toda fuente citada debe incluirse en la lista de referencias y esta, a su vez, debe incluir solo los trabajos citados en el texto.</w:t>
      </w:r>
    </w:p>
    <w:p w14:paraId="76756A21" w14:textId="60F70A9F" w:rsidR="00252250" w:rsidRDefault="00B96862" w:rsidP="00BF3873">
      <w:pPr>
        <w:shd w:val="clear" w:color="auto" w:fill="FFFFFF"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En general, toda cita se compone de dos elementos: la información propiamente referida (ideas, datos, texto, imágenes, etc.) y los datos de la fuente </w:t>
      </w:r>
      <w:r w:rsidRPr="00EA6A13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(autor, año, número de página).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</w:t>
      </w:r>
      <w:r w:rsidR="00D57F7E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Como principio básico, los datos de la fuente que no se mencionen en la </w:t>
      </w:r>
      <w:r w:rsidR="006C19BC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narración</w:t>
      </w:r>
      <w:r w:rsidR="00D57F7E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de las ideas se presentarán entre paréntesis</w:t>
      </w:r>
      <w:r w:rsidR="006C19BC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al final de la cita; si se han aportado ya en la narración, deberán omitirse de la información parentética</w:t>
      </w:r>
      <w:r w:rsidR="00D57F7E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. </w:t>
      </w:r>
      <w:r w:rsidR="00252250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A continuación, se ofrece una breve descripción y ejemplos de redacción relativos a los casos más frecuentes en este sistema de referencias.</w:t>
      </w:r>
    </w:p>
    <w:p w14:paraId="009F6261" w14:textId="77777777" w:rsidR="00BF3873" w:rsidRDefault="00BF3873" w:rsidP="0025225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</w:pPr>
    </w:p>
    <w:p w14:paraId="1D834971" w14:textId="06EE577F" w:rsidR="00252250" w:rsidRPr="00252250" w:rsidRDefault="00252250" w:rsidP="0025225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</w:pPr>
      <w:r w:rsidRPr="0025225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Citas textuales o directas</w:t>
      </w:r>
    </w:p>
    <w:p w14:paraId="22E6F87D" w14:textId="2BE2F091" w:rsidR="00252250" w:rsidRPr="00252250" w:rsidRDefault="00252250" w:rsidP="0025225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Son aquellas en las que se reproduce textualmente la fuente de información. En ellas se ha de mantener la integridad del texto original citado</w:t>
      </w:r>
      <w:r w:rsidR="00954D36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. Las hay de dos tipos, de acuerdo </w:t>
      </w:r>
      <w:r w:rsidR="006C19BC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con</w:t>
      </w:r>
      <w:r w:rsidR="00954D36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su extensión: citas textuales cortas y citas textuales largas; cada una tiene distintas características </w:t>
      </w:r>
      <w:proofErr w:type="spellStart"/>
      <w:r w:rsidR="00954D36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ortotipográficas</w:t>
      </w:r>
      <w:proofErr w:type="spellEnd"/>
      <w:r w:rsidR="00954D36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.</w:t>
      </w:r>
    </w:p>
    <w:p w14:paraId="70CF8BB8" w14:textId="68997DC6" w:rsidR="00954D36" w:rsidRPr="0055085E" w:rsidRDefault="00252250" w:rsidP="00954D3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  <w14:ligatures w14:val="none"/>
        </w:rPr>
      </w:pPr>
      <w:r w:rsidRPr="005508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  <w14:ligatures w14:val="none"/>
        </w:rPr>
        <w:t>Cortas</w:t>
      </w:r>
    </w:p>
    <w:p w14:paraId="0BEA864F" w14:textId="1AD06720" w:rsidR="00954D36" w:rsidRPr="00954D36" w:rsidRDefault="00954D36" w:rsidP="00954D3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Son aquellas que tienen una extensión menor a 40 palabras. Se reproducen en el cuerpo de texto, es decir, a renglón seguido sin hacer cambio de párrafo. </w:t>
      </w:r>
      <w:r w:rsidR="00B96862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Se escriben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entrecomilladas</w:t>
      </w:r>
      <w:r w:rsidR="00B96862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</w:t>
      </w:r>
      <w:r w:rsidR="00B96862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resentan la información de la fuente (autor,</w:t>
      </w:r>
      <w:r w:rsidR="006C19BC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año de publicación,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número de página) entre paréntesis después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lastRenderedPageBreak/>
        <w:t>de las comillas finales y antes del signo de interrogación que continúa la redacción del manuscrito. Considére</w:t>
      </w:r>
      <w:r w:rsidR="0080489C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se </w:t>
      </w:r>
      <w:r w:rsidR="0080489C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los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siguiente</w:t>
      </w:r>
      <w:r w:rsidR="0080489C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ejemplo</w:t>
      </w:r>
      <w:r w:rsidR="0080489C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s.</w:t>
      </w:r>
    </w:p>
    <w:p w14:paraId="31AA41B0" w14:textId="77777777" w:rsidR="003214B6" w:rsidRDefault="003214B6" w:rsidP="00BF3873">
      <w:pPr>
        <w:shd w:val="clear" w:color="auto" w:fill="FFFFFF"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eastAsia="es-MX"/>
          <w14:ligatures w14:val="none"/>
        </w:rPr>
      </w:pPr>
    </w:p>
    <w:p w14:paraId="1AAEE71E" w14:textId="3ECBF607" w:rsidR="0080489C" w:rsidRPr="00BF3873" w:rsidRDefault="0080489C" w:rsidP="00BF3873">
      <w:pPr>
        <w:shd w:val="clear" w:color="auto" w:fill="FFFFFF"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eastAsia="es-MX"/>
          <w14:ligatures w14:val="none"/>
        </w:rPr>
      </w:pPr>
      <w:r w:rsidRPr="00BF3873"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eastAsia="es-MX"/>
          <w14:ligatures w14:val="none"/>
        </w:rPr>
        <w:t>Ejemplo 1:</w:t>
      </w:r>
    </w:p>
    <w:p w14:paraId="7069645D" w14:textId="70CE92CB" w:rsidR="00005601" w:rsidRPr="00A16714" w:rsidRDefault="00005601" w:rsidP="00405F6F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A16714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En relación con esto, Claudio Rolle nos comenta: “quienes cultivamos esta disciplina logramos amarrarla y transformarla en algo abstruso y pesado, lo que ha sido particularmente notorio en el modo que por años se ha enseñado el relato del pasado humano en los colegios y liceos” (2000</w:t>
      </w:r>
      <w:r w:rsidRPr="00A16714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, p. </w:t>
      </w:r>
      <w:r w:rsidRPr="00A16714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65).</w:t>
      </w:r>
    </w:p>
    <w:p w14:paraId="6166E303" w14:textId="77777777" w:rsidR="00BF3873" w:rsidRDefault="00BF3873" w:rsidP="00405F6F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</w:p>
    <w:p w14:paraId="78D631C9" w14:textId="0B9B570A" w:rsidR="00005601" w:rsidRPr="00005601" w:rsidRDefault="00005601" w:rsidP="00405F6F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es-MX"/>
          <w14:ligatures w14:val="none"/>
        </w:rPr>
      </w:pPr>
      <w:r w:rsidRPr="00A16714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[El texto de este ejemplo está tomado de “</w:t>
      </w:r>
      <w:r w:rsidRPr="00A16714">
        <w:rPr>
          <w:rFonts w:ascii="Times New Roman" w:hAnsi="Times New Roman" w:cs="Times New Roman"/>
          <w:sz w:val="24"/>
          <w:szCs w:val="24"/>
        </w:rPr>
        <w:t>El ensayo como propuesta metodológica para promover el desarrollo de la competencia de la imaginación histórica en dos escuelas de la región del Biobío</w:t>
      </w:r>
      <w:r w:rsidRPr="00A16714">
        <w:rPr>
          <w:rFonts w:ascii="Times New Roman" w:hAnsi="Times New Roman" w:cs="Times New Roman"/>
          <w:sz w:val="24"/>
          <w:szCs w:val="24"/>
        </w:rPr>
        <w:t xml:space="preserve">”, de Cristian </w:t>
      </w:r>
      <w:r w:rsidRPr="00A16714">
        <w:rPr>
          <w:rFonts w:ascii="Times New Roman" w:hAnsi="Times New Roman" w:cs="Times New Roman"/>
          <w:sz w:val="24"/>
          <w:szCs w:val="24"/>
        </w:rPr>
        <w:t>Sanhueza Cáceres,</w:t>
      </w:r>
      <w:r w:rsidRPr="00A16714">
        <w:rPr>
          <w:rFonts w:ascii="Times New Roman" w:hAnsi="Times New Roman" w:cs="Times New Roman"/>
          <w:sz w:val="24"/>
          <w:szCs w:val="24"/>
        </w:rPr>
        <w:t xml:space="preserve"> Alexis </w:t>
      </w:r>
      <w:r w:rsidRPr="00A16714">
        <w:rPr>
          <w:rFonts w:ascii="Times New Roman" w:hAnsi="Times New Roman" w:cs="Times New Roman"/>
          <w:sz w:val="24"/>
          <w:szCs w:val="24"/>
        </w:rPr>
        <w:t>Sanhueza Rodríguez</w:t>
      </w:r>
      <w:r w:rsidRPr="00A16714">
        <w:rPr>
          <w:rFonts w:ascii="Times New Roman" w:hAnsi="Times New Roman" w:cs="Times New Roman"/>
          <w:sz w:val="24"/>
          <w:szCs w:val="24"/>
        </w:rPr>
        <w:t xml:space="preserve"> y Patricio</w:t>
      </w:r>
      <w:r w:rsidRPr="00A16714">
        <w:rPr>
          <w:rFonts w:ascii="Times New Roman" w:hAnsi="Times New Roman" w:cs="Times New Roman"/>
          <w:sz w:val="24"/>
          <w:szCs w:val="24"/>
        </w:rPr>
        <w:t xml:space="preserve"> Guzmán Contreras, </w:t>
      </w:r>
      <w:r w:rsidRPr="00A16714">
        <w:rPr>
          <w:rFonts w:ascii="Times New Roman" w:hAnsi="Times New Roman" w:cs="Times New Roman"/>
          <w:sz w:val="24"/>
          <w:szCs w:val="24"/>
        </w:rPr>
        <w:t>publicado en</w:t>
      </w:r>
      <w:r w:rsidRPr="00A16714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</w:t>
      </w:r>
      <w:r w:rsidRPr="00A16714">
        <w:rPr>
          <w:rFonts w:ascii="Times New Roman" w:hAnsi="Times New Roman" w:cs="Times New Roman"/>
          <w:i/>
          <w:iCs/>
          <w:sz w:val="24"/>
          <w:szCs w:val="24"/>
        </w:rPr>
        <w:t>Revista de Teoría y Didáctica de las Ciencias Sociales,</w:t>
      </w:r>
      <w:r w:rsidR="00A16714" w:rsidRPr="00A167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6714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A16714">
        <w:rPr>
          <w:rFonts w:ascii="Times New Roman" w:hAnsi="Times New Roman" w:cs="Times New Roman"/>
          <w:sz w:val="24"/>
          <w:szCs w:val="24"/>
        </w:rPr>
        <w:t xml:space="preserve">, </w:t>
      </w:r>
      <w:r w:rsidR="00A16714" w:rsidRPr="00A16714">
        <w:rPr>
          <w:rFonts w:ascii="Times New Roman" w:hAnsi="Times New Roman" w:cs="Times New Roman"/>
          <w:sz w:val="24"/>
          <w:szCs w:val="24"/>
        </w:rPr>
        <w:t>en 2014</w:t>
      </w:r>
      <w:r w:rsidR="00D50D17">
        <w:rPr>
          <w:rFonts w:ascii="Times New Roman" w:hAnsi="Times New Roman" w:cs="Times New Roman"/>
          <w:sz w:val="24"/>
          <w:szCs w:val="24"/>
        </w:rPr>
        <w:t xml:space="preserve"> y se reproduce con fines didácticos</w:t>
      </w:r>
      <w:r w:rsidRPr="00A16714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]</w:t>
      </w:r>
      <w:r>
        <w:t xml:space="preserve"> </w:t>
      </w:r>
    </w:p>
    <w:p w14:paraId="4ED2B5A5" w14:textId="77777777" w:rsidR="00A16714" w:rsidRDefault="00A16714" w:rsidP="00405F6F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es-MX"/>
          <w14:ligatures w14:val="none"/>
        </w:rPr>
      </w:pPr>
    </w:p>
    <w:p w14:paraId="59EBFCDB" w14:textId="57B17B44" w:rsidR="0080489C" w:rsidRPr="00BF3873" w:rsidRDefault="0080489C" w:rsidP="00BF3873">
      <w:pPr>
        <w:shd w:val="clear" w:color="auto" w:fill="FFFFFF"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eastAsia="es-MX"/>
          <w14:ligatures w14:val="none"/>
        </w:rPr>
      </w:pPr>
      <w:r w:rsidRPr="00BF3873"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eastAsia="es-MX"/>
          <w14:ligatures w14:val="none"/>
        </w:rPr>
        <w:t>Ejemplo 2:</w:t>
      </w:r>
    </w:p>
    <w:p w14:paraId="4171F17D" w14:textId="593DE661" w:rsidR="0055085E" w:rsidRPr="00405F6F" w:rsidRDefault="00A16714" w:rsidP="00954D3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</w:pPr>
      <w:r w:rsidRPr="00A16714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es-MX"/>
          <w14:ligatures w14:val="none"/>
        </w:rPr>
        <w:t xml:space="preserve">El modelo de desarrollo constituye el elemento central de análisis de la escuela </w:t>
      </w:r>
      <w:proofErr w:type="spellStart"/>
      <w:r w:rsidRPr="00A16714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es-MX"/>
          <w14:ligatures w14:val="none"/>
        </w:rPr>
        <w:t>regulacionista</w:t>
      </w:r>
      <w:proofErr w:type="spellEnd"/>
      <w:r w:rsidRPr="00A16714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es-MX"/>
          <w14:ligatures w14:val="none"/>
        </w:rPr>
        <w:t>. Es concebido como el resultado de “la articulación específica de un régimen de acumulación del capital y de un modo de regulación dentro de cada formación social” (Neffa, 2006</w:t>
      </w:r>
      <w:r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es-MX"/>
          <w14:ligatures w14:val="none"/>
        </w:rPr>
        <w:t>, p.</w:t>
      </w:r>
      <w:r w:rsidRPr="00A16714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es-MX"/>
          <w14:ligatures w14:val="none"/>
        </w:rPr>
        <w:t xml:space="preserve"> 302)</w:t>
      </w:r>
    </w:p>
    <w:p w14:paraId="44F5250E" w14:textId="77777777" w:rsidR="00BF3873" w:rsidRDefault="00BF3873" w:rsidP="00D50D17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</w:p>
    <w:p w14:paraId="51EBB177" w14:textId="6D432BD3" w:rsidR="00D50D17" w:rsidRPr="00D50D17" w:rsidRDefault="00A16714" w:rsidP="00D50D17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D50D17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[El texto de este ejemplo está tomado de</w:t>
      </w:r>
      <w:r w:rsidR="00D50D17" w:rsidRPr="00D50D17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“</w:t>
      </w:r>
      <w:r w:rsidR="00D50D17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¿</w:t>
      </w:r>
      <w:r w:rsidR="00D50D17" w:rsidRPr="00D50D17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Hacia un nuevo modelo de desarrollo? Desde la teoría de la regulación. Argentina 2003-2010”, de Ignacio de </w:t>
      </w:r>
      <w:proofErr w:type="spellStart"/>
      <w:r w:rsidR="00D50D17" w:rsidRPr="00D50D17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Angelis</w:t>
      </w:r>
      <w:proofErr w:type="spellEnd"/>
      <w:r w:rsidR="00D50D17" w:rsidRPr="00D50D17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, Mariana </w:t>
      </w:r>
      <w:proofErr w:type="spellStart"/>
      <w:r w:rsidR="00D50D17" w:rsidRPr="00D50D17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Calvento</w:t>
      </w:r>
      <w:proofErr w:type="spellEnd"/>
      <w:r w:rsidR="00D50D17" w:rsidRPr="00D50D17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y Mariano </w:t>
      </w:r>
      <w:r w:rsidR="00D50D17" w:rsidRPr="00D50D17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lastRenderedPageBreak/>
        <w:t>Roark, publicado en</w:t>
      </w:r>
      <w:r w:rsidRPr="00D50D17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</w:t>
      </w:r>
      <w:r w:rsidR="00D50D17" w:rsidRPr="00D50D17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  <w14:ligatures w14:val="none"/>
        </w:rPr>
        <w:t>Revista Problemas del Desarrollo, 173 (44)</w:t>
      </w:r>
      <w:r w:rsidR="00D50D17" w:rsidRPr="00D50D17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en</w:t>
      </w:r>
      <w:r w:rsidR="00D50D17" w:rsidRPr="00D50D17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2013</w:t>
      </w:r>
      <w:r w:rsidR="00D50D17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y se reproduce con fines didácticos</w:t>
      </w:r>
      <w:r w:rsidR="00D50D17" w:rsidRPr="00D50D17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]</w:t>
      </w:r>
    </w:p>
    <w:p w14:paraId="101F360B" w14:textId="77777777" w:rsidR="00D50D17" w:rsidRDefault="00D50D17" w:rsidP="00954D3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  <w14:ligatures w14:val="none"/>
        </w:rPr>
      </w:pPr>
    </w:p>
    <w:p w14:paraId="78BEF91C" w14:textId="6FEDC804" w:rsidR="00954D36" w:rsidRPr="0055085E" w:rsidRDefault="00252250" w:rsidP="00954D3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</w:pPr>
      <w:r w:rsidRPr="005508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  <w14:ligatures w14:val="none"/>
        </w:rPr>
        <w:t>Largas</w:t>
      </w:r>
      <w:r w:rsidR="00384D3D" w:rsidRPr="005508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  <w14:ligatures w14:val="none"/>
        </w:rPr>
        <w:t xml:space="preserve"> o en bloque</w:t>
      </w:r>
    </w:p>
    <w:p w14:paraId="4E3A0A7F" w14:textId="431FD5C3" w:rsidR="00405F6F" w:rsidRPr="00BF3873" w:rsidRDefault="00954D36" w:rsidP="00954D3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Son aquellas que tienen una extensión mayor a 40 palabras. Se reproducen fuera del cuerpo de texto, en párrafo aparte y con sangría izquierda en todas las líneas. No van entrecomilladas y presentan la información parentética</w:t>
      </w:r>
      <w:r w:rsidR="006C19BC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(autor, año de publicación, número de página)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después del signo de puntuación que termina la cita</w:t>
      </w:r>
      <w:r w:rsidR="006C19BC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, sin agregar punto después del paréntesis de cierre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. Considérese el siguiente ejemplo</w:t>
      </w:r>
      <w:r w:rsidR="00405F6F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:</w:t>
      </w:r>
    </w:p>
    <w:p w14:paraId="52857558" w14:textId="77777777" w:rsidR="00FF5785" w:rsidRPr="00FF5785" w:rsidRDefault="00FF5785" w:rsidP="00FF5785">
      <w:pPr>
        <w:spacing w:after="0" w:line="480" w:lineRule="auto"/>
        <w:ind w:firstLine="708"/>
        <w:jc w:val="both"/>
        <w:rPr>
          <w:rFonts w:ascii="Times New Roman" w:eastAsia="Calibri" w:hAnsi="Times New Roman" w:cs="Times New Roman"/>
          <w:color w:val="7F7F7F" w:themeColor="text1" w:themeTint="80"/>
          <w:sz w:val="24"/>
          <w:szCs w:val="24"/>
          <w14:ligatures w14:val="none"/>
        </w:rPr>
      </w:pPr>
      <w:r w:rsidRPr="00FF5785">
        <w:rPr>
          <w:rFonts w:ascii="Times New Roman" w:eastAsia="Calibri" w:hAnsi="Times New Roman" w:cs="Times New Roman"/>
          <w:color w:val="7F7F7F" w:themeColor="text1" w:themeTint="80"/>
          <w:sz w:val="24"/>
          <w:szCs w:val="24"/>
          <w14:ligatures w14:val="none"/>
        </w:rPr>
        <w:t xml:space="preserve">En varios estados del país, se llevaron a cabo campañas </w:t>
      </w:r>
      <w:proofErr w:type="spellStart"/>
      <w:r w:rsidRPr="00FF5785">
        <w:rPr>
          <w:rFonts w:ascii="Times New Roman" w:eastAsia="Calibri" w:hAnsi="Times New Roman" w:cs="Times New Roman"/>
          <w:color w:val="7F7F7F" w:themeColor="text1" w:themeTint="80"/>
          <w:sz w:val="24"/>
          <w:szCs w:val="24"/>
          <w14:ligatures w14:val="none"/>
        </w:rPr>
        <w:t>desfanatizadoras</w:t>
      </w:r>
      <w:proofErr w:type="spellEnd"/>
      <w:r w:rsidRPr="00FF5785">
        <w:rPr>
          <w:rFonts w:ascii="Times New Roman" w:eastAsia="Calibri" w:hAnsi="Times New Roman" w:cs="Times New Roman"/>
          <w:color w:val="7F7F7F" w:themeColor="text1" w:themeTint="80"/>
          <w:sz w:val="24"/>
          <w:szCs w:val="24"/>
          <w14:ligatures w14:val="none"/>
        </w:rPr>
        <w:t>, según Miguel García Valladares, el término se explica bajo los siguientes elementos:</w:t>
      </w:r>
    </w:p>
    <w:p w14:paraId="64F3A149" w14:textId="39B994A7" w:rsidR="00FF5785" w:rsidRPr="00FF5785" w:rsidRDefault="00FF5785" w:rsidP="00FF5785">
      <w:pPr>
        <w:spacing w:after="0" w:line="480" w:lineRule="auto"/>
        <w:ind w:left="709" w:right="49"/>
        <w:jc w:val="both"/>
        <w:rPr>
          <w:rFonts w:ascii="Times New Roman" w:eastAsia="Calibri" w:hAnsi="Times New Roman" w:cs="Times New Roman"/>
          <w:color w:val="7F7F7F" w:themeColor="text1" w:themeTint="80"/>
          <w:sz w:val="24"/>
          <w:szCs w:val="24"/>
          <w14:ligatures w14:val="none"/>
        </w:rPr>
      </w:pPr>
      <w:r w:rsidRPr="00FF5785">
        <w:rPr>
          <w:rFonts w:ascii="Times New Roman" w:eastAsia="Calibri" w:hAnsi="Times New Roman" w:cs="Times New Roman"/>
          <w:color w:val="7F7F7F" w:themeColor="text1" w:themeTint="80"/>
          <w:sz w:val="24"/>
          <w:szCs w:val="24"/>
          <w14:ligatures w14:val="none"/>
        </w:rPr>
        <w:t xml:space="preserve">los partidarios del anticlericalismo gubernamental usaban despectivamente el término fanático para los católicos organizados (fueran cristeros o no), mientras que fanatismo se aplicaba a las expresiones populares de la religión católica (fiestas, misas, ritos, devociones), de donde se entiende que los proyectos de descristianización se nombraran: </w:t>
      </w:r>
      <w:proofErr w:type="spellStart"/>
      <w:r w:rsidRPr="00FF5785">
        <w:rPr>
          <w:rFonts w:ascii="Times New Roman" w:eastAsia="Calibri" w:hAnsi="Times New Roman" w:cs="Times New Roman"/>
          <w:color w:val="7F7F7F" w:themeColor="text1" w:themeTint="80"/>
          <w:sz w:val="24"/>
          <w:szCs w:val="24"/>
          <w14:ligatures w14:val="none"/>
        </w:rPr>
        <w:t>desfanatización</w:t>
      </w:r>
      <w:proofErr w:type="spellEnd"/>
      <w:r w:rsidRPr="00FF5785">
        <w:rPr>
          <w:rFonts w:ascii="Times New Roman" w:eastAsia="Calibri" w:hAnsi="Times New Roman" w:cs="Times New Roman"/>
          <w:color w:val="7F7F7F" w:themeColor="text1" w:themeTint="80"/>
          <w:sz w:val="24"/>
          <w:szCs w:val="24"/>
          <w14:ligatures w14:val="none"/>
        </w:rPr>
        <w:t xml:space="preserve"> de la sociedad. (2018, p. 235)</w:t>
      </w:r>
    </w:p>
    <w:p w14:paraId="71851E26" w14:textId="77777777" w:rsidR="00405F6F" w:rsidRDefault="00405F6F" w:rsidP="00405F6F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</w:p>
    <w:p w14:paraId="4CEE1391" w14:textId="34DAA447" w:rsidR="00405F6F" w:rsidRDefault="00405F6F" w:rsidP="00405F6F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[El texto de este ejemplo está tomado de “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  <w14:ligatures w14:val="none"/>
        </w:rPr>
        <w:t>El gobierno no puede más que Dios”. Género, ciudadanía y conflicto Iglesia-Estado en el Sonora posrevolucionario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,</w:t>
      </w:r>
      <w:r w:rsidR="0000560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de Elizabeth Cejudo Ramos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en 2021</w:t>
      </w:r>
      <w:r w:rsidR="0000560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y se reproduce con fines didácticos</w:t>
      </w:r>
      <w:r w:rsidRPr="00405F6F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. </w:t>
      </w:r>
    </w:p>
    <w:p w14:paraId="73F45B3B" w14:textId="77777777" w:rsidR="0055085E" w:rsidRDefault="0055085E" w:rsidP="0025225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</w:p>
    <w:p w14:paraId="3BCC0F35" w14:textId="4B4A142A" w:rsidR="00252250" w:rsidRPr="00252250" w:rsidRDefault="00252250" w:rsidP="0025225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</w:pPr>
      <w:r w:rsidRPr="0025225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Citas indirectas</w:t>
      </w:r>
    </w:p>
    <w:p w14:paraId="295B4CD3" w14:textId="3758745B" w:rsidR="00405F6F" w:rsidRPr="00405F6F" w:rsidRDefault="00954D36" w:rsidP="00405F6F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lastRenderedPageBreak/>
        <w:t>Son aquellas en las que la información se parafrasea,</w:t>
      </w:r>
      <w:r w:rsidR="00FF5785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adaptándola al estilo y palabras del autor del manuscrito, pero dando siempre el crédito al autor original de las ideas con el resto de</w:t>
      </w:r>
      <w:r w:rsidR="006C19BC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los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datos relativos a la obra citada. En este caso, no hay uso de comillas ni párrafo aparte, pero sí debe incluirse la información parentética inmediatamente después de concluir la idea que se parafrasea.</w:t>
      </w:r>
      <w:r w:rsidR="0055085E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Considére</w:t>
      </w:r>
      <w:r w:rsidR="00405F6F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se </w:t>
      </w:r>
      <w:r w:rsidR="00405F6F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los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siguiente</w:t>
      </w:r>
      <w:r w:rsidR="00405F6F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ejemplo</w:t>
      </w:r>
      <w:r w:rsidR="00405F6F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s.</w:t>
      </w:r>
    </w:p>
    <w:p w14:paraId="6B372D26" w14:textId="77777777" w:rsidR="003214B6" w:rsidRDefault="003214B6" w:rsidP="00BF3873">
      <w:pPr>
        <w:spacing w:after="0" w:line="480" w:lineRule="auto"/>
        <w:ind w:firstLine="708"/>
        <w:jc w:val="both"/>
        <w:rPr>
          <w:rFonts w:ascii="Times New Roman" w:eastAsia="Calibri" w:hAnsi="Times New Roman" w:cs="Times New Roman"/>
          <w:i/>
          <w:iCs/>
          <w:color w:val="7F7F7F" w:themeColor="text1" w:themeTint="80"/>
          <w:sz w:val="24"/>
          <w:szCs w:val="24"/>
          <w14:ligatures w14:val="none"/>
        </w:rPr>
      </w:pPr>
    </w:p>
    <w:p w14:paraId="3519D0C4" w14:textId="6EB9DBEE" w:rsidR="00405F6F" w:rsidRPr="00BF3873" w:rsidRDefault="00405F6F" w:rsidP="00BF3873">
      <w:pPr>
        <w:spacing w:after="0" w:line="480" w:lineRule="auto"/>
        <w:ind w:firstLine="708"/>
        <w:jc w:val="both"/>
        <w:rPr>
          <w:rFonts w:ascii="Times New Roman" w:eastAsia="Calibri" w:hAnsi="Times New Roman" w:cs="Times New Roman"/>
          <w:i/>
          <w:iCs/>
          <w:color w:val="7F7F7F" w:themeColor="text1" w:themeTint="80"/>
          <w:sz w:val="24"/>
          <w:szCs w:val="24"/>
          <w14:ligatures w14:val="none"/>
        </w:rPr>
      </w:pPr>
      <w:r w:rsidRPr="00BF3873">
        <w:rPr>
          <w:rFonts w:ascii="Times New Roman" w:eastAsia="Calibri" w:hAnsi="Times New Roman" w:cs="Times New Roman"/>
          <w:i/>
          <w:iCs/>
          <w:color w:val="7F7F7F" w:themeColor="text1" w:themeTint="80"/>
          <w:sz w:val="24"/>
          <w:szCs w:val="24"/>
          <w14:ligatures w14:val="none"/>
        </w:rPr>
        <w:t>Ejemplo 1:</w:t>
      </w:r>
    </w:p>
    <w:p w14:paraId="0A454002" w14:textId="4B9BDA7D" w:rsidR="0080489C" w:rsidRPr="0080489C" w:rsidRDefault="0080489C" w:rsidP="0080489C">
      <w:pPr>
        <w:spacing w:after="0" w:line="480" w:lineRule="auto"/>
        <w:ind w:firstLine="708"/>
        <w:jc w:val="both"/>
        <w:rPr>
          <w:rFonts w:ascii="Times New Roman" w:eastAsia="Calibri" w:hAnsi="Times New Roman" w:cs="Times New Roman"/>
          <w:color w:val="7F7F7F" w:themeColor="text1" w:themeTint="80"/>
          <w:sz w:val="24"/>
          <w:szCs w:val="24"/>
          <w14:ligatures w14:val="none"/>
        </w:rPr>
      </w:pPr>
      <w:r w:rsidRPr="0080489C">
        <w:rPr>
          <w:rFonts w:ascii="Times New Roman" w:eastAsia="Calibri" w:hAnsi="Times New Roman" w:cs="Times New Roman"/>
          <w:color w:val="7F7F7F" w:themeColor="text1" w:themeTint="80"/>
          <w:sz w:val="24"/>
          <w:szCs w:val="24"/>
          <w14:ligatures w14:val="none"/>
        </w:rPr>
        <w:t>En Sonora</w:t>
      </w:r>
      <w:r>
        <w:rPr>
          <w:rFonts w:ascii="Times New Roman" w:eastAsia="Calibri" w:hAnsi="Times New Roman" w:cs="Times New Roman"/>
          <w:color w:val="7F7F7F" w:themeColor="text1" w:themeTint="80"/>
          <w:sz w:val="24"/>
          <w:szCs w:val="24"/>
          <w14:ligatures w14:val="none"/>
        </w:rPr>
        <w:t>,</w:t>
      </w:r>
      <w:r w:rsidRPr="0080489C">
        <w:rPr>
          <w:rFonts w:ascii="Times New Roman" w:eastAsia="Calibri" w:hAnsi="Times New Roman" w:cs="Times New Roman"/>
          <w:color w:val="7F7F7F" w:themeColor="text1" w:themeTint="80"/>
          <w:sz w:val="24"/>
          <w:szCs w:val="24"/>
          <w14:ligatures w14:val="none"/>
        </w:rPr>
        <w:t xml:space="preserve"> el gobernador Rodolfo Elías Calles inició su campaña bajo la premisa de que la diócesis local, con el obispo Juan Navarrete al frente, tenía un programa completo de </w:t>
      </w:r>
      <w:proofErr w:type="spellStart"/>
      <w:r w:rsidRPr="0080489C">
        <w:rPr>
          <w:rFonts w:ascii="Times New Roman" w:eastAsia="Calibri" w:hAnsi="Times New Roman" w:cs="Times New Roman"/>
          <w:color w:val="7F7F7F" w:themeColor="text1" w:themeTint="80"/>
          <w:sz w:val="24"/>
          <w:szCs w:val="24"/>
          <w14:ligatures w14:val="none"/>
        </w:rPr>
        <w:t>fanatización</w:t>
      </w:r>
      <w:proofErr w:type="spellEnd"/>
      <w:r w:rsidRPr="0080489C">
        <w:rPr>
          <w:rFonts w:ascii="Times New Roman" w:eastAsia="Calibri" w:hAnsi="Times New Roman" w:cs="Times New Roman"/>
          <w:color w:val="7F7F7F" w:themeColor="text1" w:themeTint="80"/>
          <w:sz w:val="24"/>
          <w:szCs w:val="24"/>
          <w14:ligatures w14:val="none"/>
        </w:rPr>
        <w:t>, cuidadosamente concebido y hábilmente organizado (</w:t>
      </w:r>
      <w:proofErr w:type="spellStart"/>
      <w:r w:rsidRPr="0080489C">
        <w:rPr>
          <w:rFonts w:ascii="Times New Roman" w:eastAsia="Calibri" w:hAnsi="Times New Roman" w:cs="Times New Roman"/>
          <w:color w:val="7F7F7F" w:themeColor="text1" w:themeTint="80"/>
          <w:sz w:val="24"/>
          <w:szCs w:val="24"/>
          <w14:ligatures w14:val="none"/>
        </w:rPr>
        <w:t>Corbalá</w:t>
      </w:r>
      <w:proofErr w:type="spellEnd"/>
      <w:r w:rsidRPr="0080489C">
        <w:rPr>
          <w:rFonts w:ascii="Times New Roman" w:eastAsia="Calibri" w:hAnsi="Times New Roman" w:cs="Times New Roman"/>
          <w:color w:val="7F7F7F" w:themeColor="text1" w:themeTint="80"/>
          <w:sz w:val="24"/>
          <w:szCs w:val="24"/>
          <w14:ligatures w14:val="none"/>
        </w:rPr>
        <w:t xml:space="preserve">, 1970, p. 130), al cual debían combatir. Para Ben </w:t>
      </w:r>
      <w:proofErr w:type="spellStart"/>
      <w:r w:rsidRPr="0080489C">
        <w:rPr>
          <w:rFonts w:ascii="Times New Roman" w:eastAsia="Calibri" w:hAnsi="Times New Roman" w:cs="Times New Roman"/>
          <w:color w:val="7F7F7F" w:themeColor="text1" w:themeTint="80"/>
          <w:sz w:val="24"/>
          <w:szCs w:val="24"/>
          <w14:ligatures w14:val="none"/>
        </w:rPr>
        <w:t>Fallaw</w:t>
      </w:r>
      <w:proofErr w:type="spellEnd"/>
      <w:r w:rsidRPr="0080489C">
        <w:rPr>
          <w:rFonts w:ascii="Times New Roman" w:eastAsia="Calibri" w:hAnsi="Times New Roman" w:cs="Times New Roman"/>
          <w:color w:val="7F7F7F" w:themeColor="text1" w:themeTint="80"/>
          <w:sz w:val="24"/>
          <w:szCs w:val="24"/>
          <w14:ligatures w14:val="none"/>
        </w:rPr>
        <w:t>, es posible englobar las variantes del anticlericalismo revolucionario en dos grandes ramas: radical e iconoclasta y reformismo moderado. Los primeros buscaban construir una sociedad sin Iglesia y sin religión; los reformistas y moderados rechazaban la idea de un México sin un sistema de creencias organizado. Buscaban la laicidad, la neutralidad del Estado y una religión apolítica (2009, p.</w:t>
      </w:r>
      <w:r w:rsidR="0055085E">
        <w:rPr>
          <w:rFonts w:ascii="Times New Roman" w:eastAsia="Calibri" w:hAnsi="Times New Roman" w:cs="Times New Roman"/>
          <w:color w:val="7F7F7F" w:themeColor="text1" w:themeTint="80"/>
          <w:sz w:val="24"/>
          <w:szCs w:val="24"/>
          <w14:ligatures w14:val="none"/>
        </w:rPr>
        <w:t xml:space="preserve"> </w:t>
      </w:r>
      <w:r w:rsidRPr="0080489C">
        <w:rPr>
          <w:rFonts w:ascii="Times New Roman" w:eastAsia="Calibri" w:hAnsi="Times New Roman" w:cs="Times New Roman"/>
          <w:color w:val="7F7F7F" w:themeColor="text1" w:themeTint="80"/>
          <w:sz w:val="24"/>
          <w:szCs w:val="24"/>
          <w14:ligatures w14:val="none"/>
        </w:rPr>
        <w:t>494).</w:t>
      </w:r>
    </w:p>
    <w:p w14:paraId="1A10696F" w14:textId="77777777" w:rsidR="00405F6F" w:rsidRDefault="00405F6F" w:rsidP="00405F6F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</w:p>
    <w:p w14:paraId="72CCB6FE" w14:textId="4C69FDC4" w:rsidR="0080489C" w:rsidRDefault="00405F6F" w:rsidP="00405F6F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[El texto de este ejemplo está tomado de “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  <w14:ligatures w14:val="none"/>
        </w:rPr>
        <w:t>El gobierno no puede más que Dios”. Género, ciudadanía y conflicto Iglesia-Estado en el Sonora posrevolucionario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,</w:t>
      </w:r>
      <w:r w:rsidR="0000560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de Elizabeth Cejudo Ramos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publicado por la Universidad de Sonora en 2021</w:t>
      </w:r>
      <w:r w:rsidR="0000560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y se reproduce con fines didácticos</w:t>
      </w:r>
      <w:r w:rsidRPr="00405F6F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. </w:t>
      </w:r>
    </w:p>
    <w:p w14:paraId="60BF0259" w14:textId="77777777" w:rsidR="00405F6F" w:rsidRDefault="00405F6F" w:rsidP="0025225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es-MX"/>
          <w14:ligatures w14:val="none"/>
        </w:rPr>
      </w:pPr>
    </w:p>
    <w:p w14:paraId="37C780BA" w14:textId="22E5B0DE" w:rsidR="00405F6F" w:rsidRPr="00BF3873" w:rsidRDefault="00405F6F" w:rsidP="00BF3873">
      <w:pPr>
        <w:shd w:val="clear" w:color="auto" w:fill="FFFFFF"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eastAsia="es-MX"/>
          <w14:ligatures w14:val="none"/>
        </w:rPr>
      </w:pPr>
      <w:r w:rsidRPr="00BF3873"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eastAsia="es-MX"/>
          <w14:ligatures w14:val="none"/>
        </w:rPr>
        <w:t>Ejemplo 2:</w:t>
      </w:r>
    </w:p>
    <w:p w14:paraId="579172BF" w14:textId="6ED69F68" w:rsidR="00405F6F" w:rsidRDefault="00405F6F" w:rsidP="0025225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es-MX"/>
          <w14:ligatures w14:val="none"/>
        </w:rPr>
      </w:pPr>
      <w:r w:rsidRPr="00405F6F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es-MX"/>
          <w14:ligatures w14:val="none"/>
        </w:rPr>
        <w:tab/>
      </w:r>
      <w:r w:rsidRPr="00405F6F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es-MX"/>
          <w14:ligatures w14:val="none"/>
        </w:rPr>
        <w:t xml:space="preserve">Al igual que el litio, en la actualidad se está perfilando como protagonista en el desarrollo de fuentes de energía renovable, en especial solar y eólica, y en la fabricación de vehículos </w:t>
      </w:r>
      <w:r w:rsidRPr="00405F6F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es-MX"/>
          <w14:ligatures w14:val="none"/>
        </w:rPr>
        <w:lastRenderedPageBreak/>
        <w:t>eléctricos e híbridos cuya producción requiere entre cuatro y cinco veces más cobre que los automóviles con motor de combustión interna (Jones, Acuña y Rodríguez, 2021).</w:t>
      </w:r>
    </w:p>
    <w:p w14:paraId="0F7B23F9" w14:textId="77777777" w:rsidR="00405F6F" w:rsidRDefault="00405F6F" w:rsidP="0025225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</w:p>
    <w:p w14:paraId="4CD2364B" w14:textId="15AFB8BD" w:rsidR="00405F6F" w:rsidRPr="00405F6F" w:rsidRDefault="00405F6F" w:rsidP="0025225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 w:rsidRPr="00405F6F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[El texto de este ejemplo está tomado de “La industria mundial del cobre: cambios territoriales y desafíos socioambientales en el siglo XXI”,</w:t>
      </w:r>
      <w:r w:rsidR="0000560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de Isidro Téllez Ramírez,</w:t>
      </w:r>
      <w:r w:rsidRPr="00405F6F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publicado en </w:t>
      </w:r>
      <w:r w:rsidRPr="00405F6F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  <w14:ligatures w14:val="none"/>
        </w:rPr>
        <w:t>Región y sociedad, 36</w:t>
      </w:r>
      <w:r w:rsidRPr="00405F6F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, en 2024</w:t>
      </w:r>
      <w:r w:rsidR="00005601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y se reproduce con fines didácticos</w:t>
      </w:r>
      <w:r w:rsidRPr="00405F6F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]</w:t>
      </w:r>
    </w:p>
    <w:p w14:paraId="513D33BB" w14:textId="77777777" w:rsidR="00405F6F" w:rsidRDefault="00405F6F" w:rsidP="0025225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</w:pPr>
    </w:p>
    <w:p w14:paraId="6C5FE6E6" w14:textId="1AC9F809" w:rsidR="00252250" w:rsidRDefault="00252250" w:rsidP="0025225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</w:pPr>
      <w:r w:rsidRPr="0025225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Lista de referencias</w:t>
      </w:r>
    </w:p>
    <w:p w14:paraId="2EEE8F58" w14:textId="77777777" w:rsidR="0080489C" w:rsidRDefault="00954D36" w:rsidP="0025225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La lista de referencias debe incluir únicamente aquellas obras mencionadas en el manuscrito, evitando todas aquellas que no hayan sido citadas expresamente. Su propósito principal es facilitarle al lector el acceso a las fuentes de manera que pueda consultarlas él mismo para comprobar la información.</w:t>
      </w:r>
    </w:p>
    <w:p w14:paraId="7AF5AC38" w14:textId="2CFA8F82" w:rsidR="00EA6A13" w:rsidRPr="00BF3873" w:rsidRDefault="0080489C" w:rsidP="00BF3873">
      <w:pPr>
        <w:shd w:val="clear" w:color="auto" w:fill="FFFFFF"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Se organiza alfabéticamente</w:t>
      </w:r>
      <w:r w:rsidR="00D50D17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y con sangría francesa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. </w:t>
      </w:r>
      <w:r w:rsidR="00954D36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Las entradas en la lista de referencia varían</w:t>
      </w:r>
      <w:r w:rsidR="00D50D17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en formato</w:t>
      </w:r>
      <w:r w:rsidR="00954D36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ligeramente de acuerdo con el tipo de fuente referenciada de la que se trate. A continuación, se presentan ejemplos de tipos de fuentes recurrentes:</w:t>
      </w:r>
    </w:p>
    <w:p w14:paraId="16F922D4" w14:textId="77777777" w:rsidR="003214B6" w:rsidRDefault="003214B6" w:rsidP="0025225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  <w14:ligatures w14:val="none"/>
        </w:rPr>
      </w:pPr>
    </w:p>
    <w:p w14:paraId="356D5CD4" w14:textId="351F908C" w:rsidR="00EA6A13" w:rsidRPr="00EA6A13" w:rsidRDefault="00252250" w:rsidP="0025225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  <w14:ligatures w14:val="none"/>
        </w:rPr>
      </w:pPr>
      <w:r w:rsidRPr="00254C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  <w14:ligatures w14:val="none"/>
        </w:rPr>
        <w:t>Libro</w:t>
      </w:r>
    </w:p>
    <w:p w14:paraId="087BF151" w14:textId="70348BE0" w:rsidR="00954D36" w:rsidRPr="00BF3873" w:rsidRDefault="00EA6A13" w:rsidP="00252250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BF3873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Ruiz, R</w:t>
      </w:r>
      <w:r w:rsidRPr="00BF3873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. (2022).</w:t>
      </w:r>
      <w:r w:rsidRPr="00BF3873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  <w:r w:rsidRPr="00BF3873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La secularización en España</w:t>
      </w:r>
      <w:r w:rsidRPr="00BF3873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. </w:t>
      </w:r>
      <w:r w:rsidRPr="00BF3873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Cátedra.</w:t>
      </w:r>
    </w:p>
    <w:p w14:paraId="7637B3C1" w14:textId="77777777" w:rsidR="003214B6" w:rsidRDefault="003214B6" w:rsidP="0025225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  <w14:ligatures w14:val="none"/>
        </w:rPr>
      </w:pPr>
    </w:p>
    <w:p w14:paraId="104065F2" w14:textId="6BA6B9ED" w:rsidR="00254C3F" w:rsidRPr="00254C3F" w:rsidRDefault="00252250" w:rsidP="0025225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  <w14:ligatures w14:val="none"/>
        </w:rPr>
      </w:pPr>
      <w:r w:rsidRPr="00254C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  <w14:ligatures w14:val="none"/>
        </w:rPr>
        <w:t>Capítulo de libro</w:t>
      </w:r>
    </w:p>
    <w:p w14:paraId="0CC9B004" w14:textId="77777777" w:rsidR="00254C3F" w:rsidRPr="00254C3F" w:rsidRDefault="00254C3F" w:rsidP="00254C3F">
      <w:pPr>
        <w:spacing w:line="480" w:lineRule="auto"/>
        <w:ind w:left="720" w:hanging="709"/>
        <w:contextualSpacing/>
        <w:jc w:val="both"/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</w:pPr>
      <w:proofErr w:type="spellStart"/>
      <w:r w:rsidRPr="00254C3F"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  <w:t>Tourón</w:t>
      </w:r>
      <w:proofErr w:type="spellEnd"/>
      <w:r w:rsidRPr="00254C3F"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  <w:t xml:space="preserve">, J., </w:t>
      </w:r>
      <w:proofErr w:type="spellStart"/>
      <w:r w:rsidRPr="00254C3F"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  <w:t>Reyero</w:t>
      </w:r>
      <w:proofErr w:type="spellEnd"/>
      <w:r w:rsidRPr="00254C3F"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  <w:t xml:space="preserve">, M. y Fernández, R. (2009). La superdotación en el aula claves para su identificación y tratamiento educativo. En B. García-Vera (coord.), </w:t>
      </w:r>
      <w:r w:rsidRPr="00254C3F">
        <w:rPr>
          <w:rFonts w:ascii="Times New Roman" w:hAnsi="Times New Roman" w:cs="Times New Roman"/>
          <w:bCs/>
          <w:i/>
          <w:color w:val="7F7F7F" w:themeColor="text1" w:themeTint="80"/>
          <w:sz w:val="24"/>
          <w:szCs w:val="24"/>
        </w:rPr>
        <w:t xml:space="preserve">Programación y </w:t>
      </w:r>
      <w:r w:rsidRPr="00254C3F">
        <w:rPr>
          <w:rFonts w:ascii="Times New Roman" w:hAnsi="Times New Roman" w:cs="Times New Roman"/>
          <w:bCs/>
          <w:i/>
          <w:color w:val="7F7F7F" w:themeColor="text1" w:themeTint="80"/>
          <w:sz w:val="24"/>
          <w:szCs w:val="24"/>
        </w:rPr>
        <w:lastRenderedPageBreak/>
        <w:t xml:space="preserve">evaluación curricular. Formación de profesores de educación secundaria. </w:t>
      </w:r>
      <w:r w:rsidRPr="00254C3F"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  <w:t>Universidad Complutense de Madrid.</w:t>
      </w:r>
    </w:p>
    <w:p w14:paraId="2C7E275E" w14:textId="77777777" w:rsidR="003214B6" w:rsidRDefault="003214B6" w:rsidP="0025225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  <w14:ligatures w14:val="none"/>
        </w:rPr>
      </w:pPr>
    </w:p>
    <w:p w14:paraId="2E328061" w14:textId="51F7DA4A" w:rsidR="00254C3F" w:rsidRPr="00D50D17" w:rsidRDefault="00252250" w:rsidP="0025225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  <w14:ligatures w14:val="none"/>
        </w:rPr>
      </w:pPr>
      <w:r w:rsidRPr="00D50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  <w14:ligatures w14:val="none"/>
        </w:rPr>
        <w:t>Artículo</w:t>
      </w:r>
      <w:r w:rsidR="00D50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  <w14:ligatures w14:val="none"/>
        </w:rPr>
        <w:t xml:space="preserve"> </w:t>
      </w:r>
      <w:r w:rsidR="00254C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MX"/>
          <w14:ligatures w14:val="none"/>
        </w:rPr>
        <w:t>de revista</w:t>
      </w:r>
    </w:p>
    <w:p w14:paraId="4CE07874" w14:textId="5BFDD028" w:rsidR="00254C3F" w:rsidRPr="00EA6A13" w:rsidRDefault="00D50D17" w:rsidP="00EA6A13">
      <w:pPr>
        <w:spacing w:line="480" w:lineRule="auto"/>
        <w:ind w:left="720" w:hanging="709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254C3F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Seaton, M., Marsh, H., Parker, P., Craven, R. y Yeung, A. (2015). The reciprocal effects model revised: extending its reach to gifted students attending academically selective schools. </w:t>
      </w:r>
      <w:proofErr w:type="spellStart"/>
      <w:r w:rsidRPr="00254C3F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Gifted</w:t>
      </w:r>
      <w:proofErr w:type="spellEnd"/>
      <w:r w:rsidRPr="00254C3F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 xml:space="preserve"> Child </w:t>
      </w:r>
      <w:proofErr w:type="spellStart"/>
      <w:r w:rsidRPr="00254C3F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Quarterly</w:t>
      </w:r>
      <w:proofErr w:type="spellEnd"/>
      <w:r w:rsidRPr="00254C3F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, 59</w:t>
      </w:r>
      <w:r w:rsidRPr="00254C3F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(3), 143-156. https://doi.org/10.1177/0016986215583870.</w:t>
      </w:r>
    </w:p>
    <w:p w14:paraId="23ADFEA3" w14:textId="06094951" w:rsidR="00954D36" w:rsidRPr="00254C3F" w:rsidRDefault="00254C3F" w:rsidP="0025225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  <w14:ligatures w14:val="none"/>
        </w:rPr>
      </w:pPr>
      <w:r w:rsidRPr="00254C3F">
        <w:rPr>
          <w:rFonts w:ascii="Times New Roman" w:hAnsi="Times New Roman" w:cs="Times New Roman"/>
          <w:sz w:val="24"/>
          <w:szCs w:val="24"/>
        </w:rPr>
        <w:t xml:space="preserve">Si el artículo cuenta con </w:t>
      </w:r>
      <w:r w:rsidRPr="00254C3F">
        <w:rPr>
          <w:rFonts w:ascii="Times New Roman" w:hAnsi="Times New Roman" w:cs="Times New Roman"/>
          <w:sz w:val="24"/>
          <w:szCs w:val="24"/>
        </w:rPr>
        <w:t>DOI</w:t>
      </w:r>
      <w:r w:rsidRPr="00254C3F">
        <w:rPr>
          <w:rFonts w:ascii="Times New Roman" w:hAnsi="Times New Roman" w:cs="Times New Roman"/>
          <w:sz w:val="24"/>
          <w:szCs w:val="24"/>
        </w:rPr>
        <w:t>, inclúyalo en la entrada de la lista de</w:t>
      </w:r>
      <w:r w:rsidRPr="00254C3F">
        <w:rPr>
          <w:rFonts w:ascii="Times New Roman" w:hAnsi="Times New Roman" w:cs="Times New Roman"/>
          <w:sz w:val="24"/>
          <w:szCs w:val="24"/>
        </w:rPr>
        <w:t xml:space="preserve"> referencia</w:t>
      </w:r>
      <w:r w:rsidRPr="00254C3F">
        <w:rPr>
          <w:rFonts w:ascii="Times New Roman" w:hAnsi="Times New Roman" w:cs="Times New Roman"/>
          <w:sz w:val="24"/>
          <w:szCs w:val="24"/>
        </w:rPr>
        <w:t>s;</w:t>
      </w:r>
      <w:r w:rsidRPr="00254C3F">
        <w:rPr>
          <w:rFonts w:ascii="Times New Roman" w:hAnsi="Times New Roman" w:cs="Times New Roman"/>
          <w:sz w:val="24"/>
          <w:szCs w:val="24"/>
        </w:rPr>
        <w:t xml:space="preserve"> </w:t>
      </w:r>
      <w:r w:rsidRPr="00254C3F">
        <w:rPr>
          <w:rFonts w:ascii="Times New Roman" w:hAnsi="Times New Roman" w:cs="Times New Roman"/>
          <w:sz w:val="24"/>
          <w:szCs w:val="24"/>
        </w:rPr>
        <w:t>s</w:t>
      </w:r>
      <w:r w:rsidRPr="00254C3F">
        <w:rPr>
          <w:rFonts w:ascii="Times New Roman" w:hAnsi="Times New Roman" w:cs="Times New Roman"/>
          <w:sz w:val="24"/>
          <w:szCs w:val="24"/>
        </w:rPr>
        <w:t>i el artículo no tiene un DOI</w:t>
      </w:r>
      <w:r w:rsidR="00EA6A13">
        <w:rPr>
          <w:rFonts w:ascii="Times New Roman" w:hAnsi="Times New Roman" w:cs="Times New Roman"/>
          <w:sz w:val="24"/>
          <w:szCs w:val="24"/>
        </w:rPr>
        <w:t>,</w:t>
      </w:r>
      <w:r w:rsidRPr="00254C3F">
        <w:rPr>
          <w:rFonts w:ascii="Times New Roman" w:hAnsi="Times New Roman" w:cs="Times New Roman"/>
          <w:sz w:val="24"/>
          <w:szCs w:val="24"/>
        </w:rPr>
        <w:t xml:space="preserve"> </w:t>
      </w:r>
      <w:r w:rsidRPr="00254C3F">
        <w:rPr>
          <w:rFonts w:ascii="Times New Roman" w:hAnsi="Times New Roman" w:cs="Times New Roman"/>
          <w:sz w:val="24"/>
          <w:szCs w:val="24"/>
        </w:rPr>
        <w:t xml:space="preserve">pero </w:t>
      </w:r>
      <w:r w:rsidRPr="00254C3F">
        <w:rPr>
          <w:rFonts w:ascii="Times New Roman" w:hAnsi="Times New Roman" w:cs="Times New Roman"/>
          <w:sz w:val="24"/>
          <w:szCs w:val="24"/>
        </w:rPr>
        <w:t>sí</w:t>
      </w:r>
      <w:r w:rsidR="00EA6A13">
        <w:rPr>
          <w:rFonts w:ascii="Times New Roman" w:hAnsi="Times New Roman" w:cs="Times New Roman"/>
          <w:sz w:val="24"/>
          <w:szCs w:val="24"/>
        </w:rPr>
        <w:t xml:space="preserve"> con</w:t>
      </w:r>
      <w:r w:rsidRPr="00254C3F">
        <w:rPr>
          <w:rFonts w:ascii="Times New Roman" w:hAnsi="Times New Roman" w:cs="Times New Roman"/>
          <w:sz w:val="24"/>
          <w:szCs w:val="24"/>
        </w:rPr>
        <w:t xml:space="preserve"> una </w:t>
      </w:r>
      <w:r w:rsidRPr="00254C3F">
        <w:rPr>
          <w:rFonts w:ascii="Times New Roman" w:hAnsi="Times New Roman" w:cs="Times New Roman"/>
          <w:sz w:val="24"/>
          <w:szCs w:val="24"/>
        </w:rPr>
        <w:t xml:space="preserve">dirección </w:t>
      </w:r>
      <w:r w:rsidRPr="00254C3F">
        <w:rPr>
          <w:rFonts w:ascii="Times New Roman" w:hAnsi="Times New Roman" w:cs="Times New Roman"/>
          <w:sz w:val="24"/>
          <w:szCs w:val="24"/>
        </w:rPr>
        <w:t>URL</w:t>
      </w:r>
      <w:r w:rsidRPr="00254C3F">
        <w:rPr>
          <w:rFonts w:ascii="Times New Roman" w:hAnsi="Times New Roman" w:cs="Times New Roman"/>
          <w:sz w:val="24"/>
          <w:szCs w:val="24"/>
        </w:rPr>
        <w:t>, incluya esta</w:t>
      </w:r>
      <w:r w:rsidRPr="00254C3F">
        <w:rPr>
          <w:rFonts w:ascii="Times New Roman" w:hAnsi="Times New Roman" w:cs="Times New Roman"/>
          <w:sz w:val="24"/>
          <w:szCs w:val="24"/>
        </w:rPr>
        <w:t>.</w:t>
      </w:r>
      <w:r w:rsidRPr="00254C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50A5A" w14:textId="77777777" w:rsidR="003214B6" w:rsidRDefault="003214B6" w:rsidP="0025225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es-MX"/>
          <w14:ligatures w14:val="none"/>
        </w:rPr>
      </w:pPr>
    </w:p>
    <w:p w14:paraId="1E3D6A0D" w14:textId="7EB91CDB" w:rsidR="00252250" w:rsidRPr="00EA6A13" w:rsidRDefault="00252250" w:rsidP="0025225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es-MX"/>
          <w14:ligatures w14:val="none"/>
        </w:rPr>
      </w:pPr>
      <w:r w:rsidRPr="00EA6A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es-MX"/>
          <w14:ligatures w14:val="none"/>
        </w:rPr>
        <w:t>Tesis</w:t>
      </w:r>
    </w:p>
    <w:p w14:paraId="3B640034" w14:textId="77777777" w:rsidR="00BF3873" w:rsidRPr="00EA6A13" w:rsidRDefault="00BF3873" w:rsidP="00BF3873">
      <w:pPr>
        <w:shd w:val="clear" w:color="auto" w:fill="FFFFFF"/>
        <w:spacing w:after="0" w:line="480" w:lineRule="auto"/>
        <w:ind w:left="709" w:hanging="709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es-MX"/>
          <w14:ligatures w14:val="none"/>
        </w:rPr>
      </w:pPr>
      <w:proofErr w:type="spellStart"/>
      <w:r w:rsidRPr="00EA6A1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es-MX"/>
          <w14:ligatures w14:val="none"/>
        </w:rPr>
        <w:t>Hutjens</w:t>
      </w:r>
      <w:proofErr w:type="spellEnd"/>
      <w:r w:rsidRPr="00EA6A1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es-MX"/>
          <w14:ligatures w14:val="none"/>
        </w:rPr>
        <w:t>, M</w:t>
      </w:r>
      <w:r w:rsidRPr="00BF387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es-MX"/>
          <w14:ligatures w14:val="none"/>
        </w:rPr>
        <w:t>.</w:t>
      </w:r>
      <w:r w:rsidRPr="00EA6A1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es-MX"/>
          <w14:ligatures w14:val="none"/>
        </w:rPr>
        <w:t xml:space="preserve"> (2014)</w:t>
      </w:r>
      <w:r w:rsidRPr="00BF387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es-MX"/>
          <w14:ligatures w14:val="none"/>
        </w:rPr>
        <w:t>.</w:t>
      </w:r>
      <w:r w:rsidRPr="00EA6A1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es-MX"/>
          <w14:ligatures w14:val="none"/>
        </w:rPr>
        <w:t xml:space="preserve"> </w:t>
      </w:r>
      <w:r w:rsidRPr="00EA6A13"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val="en-US" w:eastAsia="es-MX"/>
          <w14:ligatures w14:val="none"/>
        </w:rPr>
        <w:t xml:space="preserve">The Influence of Fear on the Buying </w:t>
      </w:r>
      <w:proofErr w:type="spellStart"/>
      <w:r w:rsidRPr="00EA6A13"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val="en-US" w:eastAsia="es-MX"/>
          <w14:ligatures w14:val="none"/>
        </w:rPr>
        <w:t>Behaviour</w:t>
      </w:r>
      <w:proofErr w:type="spellEnd"/>
      <w:r w:rsidRPr="00EA6A13"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val="en-US" w:eastAsia="es-MX"/>
          <w14:ligatures w14:val="none"/>
        </w:rPr>
        <w:t xml:space="preserve"> of Consumers in</w:t>
      </w:r>
      <w:r w:rsidRPr="00BF3873"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val="en-US" w:eastAsia="es-MX"/>
          <w14:ligatures w14:val="none"/>
        </w:rPr>
        <w:t xml:space="preserve"> </w:t>
      </w:r>
      <w:r w:rsidRPr="00EA6A13"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val="en-US" w:eastAsia="es-MX"/>
          <w14:ligatures w14:val="none"/>
        </w:rPr>
        <w:t>Case of an Animal Disease Outbreak</w:t>
      </w:r>
      <w:r w:rsidRPr="00EA6A1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es-MX"/>
          <w14:ligatures w14:val="none"/>
        </w:rPr>
        <w:t xml:space="preserve"> </w:t>
      </w:r>
      <w:r w:rsidRPr="00BF387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es-MX"/>
          <w14:ligatures w14:val="none"/>
        </w:rPr>
        <w:t>[</w:t>
      </w:r>
      <w:proofErr w:type="spellStart"/>
      <w:r w:rsidRPr="00EA6A1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es-MX"/>
          <w14:ligatures w14:val="none"/>
        </w:rPr>
        <w:t>tesis</w:t>
      </w:r>
      <w:proofErr w:type="spellEnd"/>
      <w:r w:rsidRPr="00EA6A1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es-MX"/>
          <w14:ligatures w14:val="none"/>
        </w:rPr>
        <w:t xml:space="preserve"> de </w:t>
      </w:r>
      <w:proofErr w:type="spellStart"/>
      <w:r w:rsidRPr="00EA6A1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es-MX"/>
          <w14:ligatures w14:val="none"/>
        </w:rPr>
        <w:t>maestría</w:t>
      </w:r>
      <w:proofErr w:type="spellEnd"/>
      <w:r w:rsidRPr="00BF387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es-MX"/>
          <w14:ligatures w14:val="none"/>
        </w:rPr>
        <w:t>].</w:t>
      </w:r>
      <w:r w:rsidRPr="00EA6A1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es-MX"/>
          <w14:ligatures w14:val="none"/>
        </w:rPr>
        <w:t xml:space="preserve"> Wageningen University</w:t>
      </w:r>
      <w:r w:rsidRPr="00BF387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es-MX"/>
          <w14:ligatures w14:val="none"/>
        </w:rPr>
        <w:t>.</w:t>
      </w:r>
    </w:p>
    <w:p w14:paraId="13D57810" w14:textId="77777777" w:rsidR="00254C3F" w:rsidRDefault="00254C3F" w:rsidP="008048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DE1F7B" w14:textId="77777777" w:rsidR="003214B6" w:rsidRDefault="003214B6" w:rsidP="0080489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5E4C016" w14:textId="56BADDDC" w:rsidR="0080489C" w:rsidRPr="003214B6" w:rsidRDefault="003214B6" w:rsidP="0080489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Presentación</w:t>
      </w:r>
      <w:r w:rsidR="00BF3873" w:rsidRPr="003214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la l</w:t>
      </w:r>
      <w:r w:rsidR="0080489C" w:rsidRPr="003214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ista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referencias</w:t>
      </w:r>
    </w:p>
    <w:p w14:paraId="2AB5E2D2" w14:textId="77777777" w:rsidR="00BF3873" w:rsidRPr="00EA6A13" w:rsidRDefault="00BF3873" w:rsidP="00BF3873">
      <w:pPr>
        <w:shd w:val="clear" w:color="auto" w:fill="FFFFFF"/>
        <w:spacing w:after="0" w:line="480" w:lineRule="auto"/>
        <w:ind w:left="709" w:hanging="709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es-MX"/>
          <w14:ligatures w14:val="none"/>
        </w:rPr>
      </w:pPr>
      <w:proofErr w:type="spellStart"/>
      <w:r w:rsidRPr="00EA6A1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es-MX"/>
          <w14:ligatures w14:val="none"/>
        </w:rPr>
        <w:t>Hutjens</w:t>
      </w:r>
      <w:proofErr w:type="spellEnd"/>
      <w:r w:rsidRPr="00EA6A1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es-MX"/>
          <w14:ligatures w14:val="none"/>
        </w:rPr>
        <w:t>, M</w:t>
      </w:r>
      <w:r w:rsidRPr="003214B6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es-MX"/>
          <w14:ligatures w14:val="none"/>
        </w:rPr>
        <w:t>.</w:t>
      </w:r>
      <w:r w:rsidRPr="00EA6A1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es-MX"/>
          <w14:ligatures w14:val="none"/>
        </w:rPr>
        <w:t xml:space="preserve"> (2014)</w:t>
      </w:r>
      <w:r w:rsidRPr="003214B6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es-MX"/>
          <w14:ligatures w14:val="none"/>
        </w:rPr>
        <w:t>.</w:t>
      </w:r>
      <w:r w:rsidRPr="00EA6A1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es-MX"/>
          <w14:ligatures w14:val="none"/>
        </w:rPr>
        <w:t xml:space="preserve"> </w:t>
      </w:r>
      <w:r w:rsidRPr="00EA6A13"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val="en-US" w:eastAsia="es-MX"/>
          <w14:ligatures w14:val="none"/>
        </w:rPr>
        <w:t xml:space="preserve">The Influence of Fear on the Buying </w:t>
      </w:r>
      <w:proofErr w:type="spellStart"/>
      <w:r w:rsidRPr="00EA6A13"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val="en-US" w:eastAsia="es-MX"/>
          <w14:ligatures w14:val="none"/>
        </w:rPr>
        <w:t>Behaviour</w:t>
      </w:r>
      <w:proofErr w:type="spellEnd"/>
      <w:r w:rsidRPr="00EA6A13"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val="en-US" w:eastAsia="es-MX"/>
          <w14:ligatures w14:val="none"/>
        </w:rPr>
        <w:t xml:space="preserve"> of Consumers in</w:t>
      </w:r>
      <w:r w:rsidRPr="00BF3873"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val="en-US" w:eastAsia="es-MX"/>
          <w14:ligatures w14:val="none"/>
        </w:rPr>
        <w:t xml:space="preserve"> </w:t>
      </w:r>
      <w:r w:rsidRPr="00EA6A13">
        <w:rPr>
          <w:rFonts w:ascii="Times New Roman" w:eastAsia="Times New Roman" w:hAnsi="Times New Roman" w:cs="Times New Roman"/>
          <w:i/>
          <w:iCs/>
          <w:color w:val="7F7F7F" w:themeColor="text1" w:themeTint="80"/>
          <w:sz w:val="24"/>
          <w:szCs w:val="24"/>
          <w:lang w:val="en-US" w:eastAsia="es-MX"/>
          <w14:ligatures w14:val="none"/>
        </w:rPr>
        <w:t>Case of an Animal Disease Outbreak</w:t>
      </w:r>
      <w:r w:rsidRPr="00EA6A1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es-MX"/>
          <w14:ligatures w14:val="none"/>
        </w:rPr>
        <w:t xml:space="preserve"> </w:t>
      </w:r>
      <w:r w:rsidRPr="00BF387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es-MX"/>
          <w14:ligatures w14:val="none"/>
        </w:rPr>
        <w:t>[</w:t>
      </w:r>
      <w:proofErr w:type="spellStart"/>
      <w:r w:rsidRPr="00EA6A1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es-MX"/>
          <w14:ligatures w14:val="none"/>
        </w:rPr>
        <w:t>tesis</w:t>
      </w:r>
      <w:proofErr w:type="spellEnd"/>
      <w:r w:rsidRPr="00EA6A1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es-MX"/>
          <w14:ligatures w14:val="none"/>
        </w:rPr>
        <w:t xml:space="preserve"> de </w:t>
      </w:r>
      <w:proofErr w:type="spellStart"/>
      <w:r w:rsidRPr="00EA6A1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es-MX"/>
          <w14:ligatures w14:val="none"/>
        </w:rPr>
        <w:t>maestría</w:t>
      </w:r>
      <w:proofErr w:type="spellEnd"/>
      <w:r w:rsidRPr="00BF387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es-MX"/>
          <w14:ligatures w14:val="none"/>
        </w:rPr>
        <w:t>].</w:t>
      </w:r>
      <w:r w:rsidRPr="00EA6A1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val="en-US" w:eastAsia="es-MX"/>
          <w14:ligatures w14:val="none"/>
        </w:rPr>
        <w:t xml:space="preserve"> </w:t>
      </w:r>
      <w:r w:rsidRPr="00EA6A1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es-MX"/>
          <w14:ligatures w14:val="none"/>
        </w:rPr>
        <w:t xml:space="preserve">Wageningen </w:t>
      </w:r>
      <w:proofErr w:type="spellStart"/>
      <w:r w:rsidRPr="00EA6A1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es-MX"/>
          <w14:ligatures w14:val="none"/>
        </w:rPr>
        <w:t>University</w:t>
      </w:r>
      <w:proofErr w:type="spellEnd"/>
      <w:r w:rsidRPr="00BF3873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es-MX"/>
          <w14:ligatures w14:val="none"/>
        </w:rPr>
        <w:t>.</w:t>
      </w:r>
    </w:p>
    <w:p w14:paraId="74B250EA" w14:textId="77777777" w:rsidR="00BF3873" w:rsidRPr="00BF3873" w:rsidRDefault="00BF3873" w:rsidP="00BF3873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873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Ruiz, R. (2022). </w:t>
      </w:r>
      <w:r w:rsidRPr="00BF3873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</w:rPr>
        <w:t>La secularización en España</w:t>
      </w:r>
      <w:r w:rsidRPr="00BF3873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. Cátedra</w:t>
      </w:r>
      <w:r w:rsidRPr="00BF3873">
        <w:rPr>
          <w:rFonts w:ascii="Times New Roman" w:hAnsi="Times New Roman" w:cs="Times New Roman"/>
          <w:sz w:val="24"/>
          <w:szCs w:val="24"/>
        </w:rPr>
        <w:t>.</w:t>
      </w:r>
    </w:p>
    <w:p w14:paraId="77D70842" w14:textId="77777777" w:rsidR="00BF3873" w:rsidRPr="00BF3873" w:rsidRDefault="00BF3873" w:rsidP="00BF3873">
      <w:pPr>
        <w:spacing w:line="480" w:lineRule="auto"/>
        <w:ind w:left="720" w:hanging="709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</w:pPr>
      <w:r w:rsidRPr="00BF3873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Seaton, M., Marsh, H., Parker, P., </w:t>
      </w:r>
      <w:proofErr w:type="spellStart"/>
      <w:r w:rsidRPr="00BF3873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Craven</w:t>
      </w:r>
      <w:proofErr w:type="spellEnd"/>
      <w:r w:rsidRPr="00BF3873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, R. y </w:t>
      </w:r>
      <w:proofErr w:type="spellStart"/>
      <w:r w:rsidRPr="00BF3873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Yeung</w:t>
      </w:r>
      <w:proofErr w:type="spellEnd"/>
      <w:r w:rsidRPr="00BF3873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, A. (2015). </w:t>
      </w:r>
      <w:r w:rsidRPr="00254C3F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 xml:space="preserve">The reciprocal effects model revised: extending its reach to gifted students attending academically selective schools. </w:t>
      </w:r>
      <w:r w:rsidRPr="00BF3873">
        <w:rPr>
          <w:rFonts w:ascii="Times New Roman" w:hAnsi="Times New Roman" w:cs="Times New Roman"/>
          <w:i/>
          <w:iCs/>
          <w:color w:val="7F7F7F" w:themeColor="text1" w:themeTint="80"/>
          <w:sz w:val="24"/>
          <w:szCs w:val="24"/>
          <w:lang w:val="en-US"/>
        </w:rPr>
        <w:t>Gifted Child Quarterly, 59</w:t>
      </w:r>
      <w:r w:rsidRPr="00BF3873">
        <w:rPr>
          <w:rFonts w:ascii="Times New Roman" w:hAnsi="Times New Roman" w:cs="Times New Roman"/>
          <w:color w:val="7F7F7F" w:themeColor="text1" w:themeTint="80"/>
          <w:sz w:val="24"/>
          <w:szCs w:val="24"/>
          <w:lang w:val="en-US"/>
        </w:rPr>
        <w:t>(3), 143-156. https://doi.org/10.1177/0016986215583870.</w:t>
      </w:r>
    </w:p>
    <w:p w14:paraId="4443E7F9" w14:textId="286A18ED" w:rsidR="00BF3873" w:rsidRDefault="00BF3873" w:rsidP="00BF3873">
      <w:pPr>
        <w:spacing w:line="480" w:lineRule="auto"/>
        <w:ind w:left="720" w:hanging="709"/>
        <w:contextualSpacing/>
        <w:jc w:val="both"/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</w:pPr>
      <w:proofErr w:type="spellStart"/>
      <w:r w:rsidRPr="00BF3873">
        <w:rPr>
          <w:rFonts w:ascii="Times New Roman" w:hAnsi="Times New Roman" w:cs="Times New Roman"/>
          <w:bCs/>
          <w:color w:val="7F7F7F" w:themeColor="text1" w:themeTint="80"/>
          <w:sz w:val="24"/>
          <w:szCs w:val="24"/>
          <w:lang w:val="en-US"/>
        </w:rPr>
        <w:lastRenderedPageBreak/>
        <w:t>Tourón</w:t>
      </w:r>
      <w:proofErr w:type="spellEnd"/>
      <w:r w:rsidRPr="00BF3873">
        <w:rPr>
          <w:rFonts w:ascii="Times New Roman" w:hAnsi="Times New Roman" w:cs="Times New Roman"/>
          <w:bCs/>
          <w:color w:val="7F7F7F" w:themeColor="text1" w:themeTint="80"/>
          <w:sz w:val="24"/>
          <w:szCs w:val="24"/>
          <w:lang w:val="en-US"/>
        </w:rPr>
        <w:t xml:space="preserve">, J., </w:t>
      </w:r>
      <w:proofErr w:type="spellStart"/>
      <w:r w:rsidRPr="00BF3873">
        <w:rPr>
          <w:rFonts w:ascii="Times New Roman" w:hAnsi="Times New Roman" w:cs="Times New Roman"/>
          <w:bCs/>
          <w:color w:val="7F7F7F" w:themeColor="text1" w:themeTint="80"/>
          <w:sz w:val="24"/>
          <w:szCs w:val="24"/>
          <w:lang w:val="en-US"/>
        </w:rPr>
        <w:t>Reyero</w:t>
      </w:r>
      <w:proofErr w:type="spellEnd"/>
      <w:r w:rsidRPr="00BF3873">
        <w:rPr>
          <w:rFonts w:ascii="Times New Roman" w:hAnsi="Times New Roman" w:cs="Times New Roman"/>
          <w:bCs/>
          <w:color w:val="7F7F7F" w:themeColor="text1" w:themeTint="80"/>
          <w:sz w:val="24"/>
          <w:szCs w:val="24"/>
          <w:lang w:val="en-US"/>
        </w:rPr>
        <w:t xml:space="preserve">, M. y Fernández, R. (2009). </w:t>
      </w:r>
      <w:r w:rsidRPr="00254C3F"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  <w:t xml:space="preserve">La superdotación en el aula claves para su identificación y tratamiento educativo. En B. García-Vera (coord.), </w:t>
      </w:r>
      <w:r w:rsidRPr="00254C3F">
        <w:rPr>
          <w:rFonts w:ascii="Times New Roman" w:hAnsi="Times New Roman" w:cs="Times New Roman"/>
          <w:bCs/>
          <w:i/>
          <w:color w:val="7F7F7F" w:themeColor="text1" w:themeTint="80"/>
          <w:sz w:val="24"/>
          <w:szCs w:val="24"/>
        </w:rPr>
        <w:t xml:space="preserve">Programación y evaluación curricular. Formación de profesores de educación secundaria. </w:t>
      </w:r>
      <w:r w:rsidRPr="00254C3F"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  <w:t>Universidad Complutense de Madrid.</w:t>
      </w:r>
    </w:p>
    <w:p w14:paraId="1DF1E841" w14:textId="77777777" w:rsidR="00BF3873" w:rsidRPr="00BF3873" w:rsidRDefault="00BF3873" w:rsidP="00BF3873">
      <w:pPr>
        <w:spacing w:line="480" w:lineRule="auto"/>
        <w:ind w:left="720" w:hanging="709"/>
        <w:contextualSpacing/>
        <w:jc w:val="both"/>
        <w:rPr>
          <w:rFonts w:ascii="Times New Roman" w:hAnsi="Times New Roman" w:cs="Times New Roman"/>
          <w:bCs/>
          <w:color w:val="7F7F7F" w:themeColor="text1" w:themeTint="80"/>
          <w:sz w:val="24"/>
          <w:szCs w:val="24"/>
        </w:rPr>
      </w:pPr>
    </w:p>
    <w:p w14:paraId="0697E77D" w14:textId="4BDBA489" w:rsidR="00252250" w:rsidRPr="00252250" w:rsidRDefault="00252250" w:rsidP="0025225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</w:pPr>
      <w:r w:rsidRPr="0025225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  <w14:ligatures w14:val="none"/>
        </w:rPr>
        <w:t>Material de apoyo</w:t>
      </w:r>
    </w:p>
    <w:p w14:paraId="5213A94D" w14:textId="77777777" w:rsidR="003214B6" w:rsidRDefault="00252250" w:rsidP="0025225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Para el resto de los casos y dudas que requieran mayor profundidad, se invita a los autores a consultar el manual de APA</w:t>
      </w:r>
      <w:r w:rsidR="00BF3873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séptima edición</w:t>
      </w:r>
      <w:r w:rsidR="00BF3873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: </w:t>
      </w:r>
    </w:p>
    <w:p w14:paraId="70ED8E33" w14:textId="77777777" w:rsidR="003214B6" w:rsidRDefault="003214B6" w:rsidP="0025225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hyperlink r:id="rId11" w:history="1">
        <w:r w:rsidRPr="00DA3082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MX"/>
            <w14:ligatures w14:val="none"/>
          </w:rPr>
          <w:t>https://apastyle.apa.org/products/publication-manual-7th-edition</w:t>
        </w:r>
      </w:hyperlink>
      <w:r w:rsidR="00BF3873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.</w:t>
      </w:r>
    </w:p>
    <w:p w14:paraId="183CBD35" w14:textId="3D3C3956" w:rsidR="00252250" w:rsidRDefault="003214B6" w:rsidP="003214B6">
      <w:pPr>
        <w:shd w:val="clear" w:color="auto" w:fill="FFFFFF"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APA t</w:t>
      </w:r>
      <w:r w:rsidR="00252250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ambién ofrece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guías de</w:t>
      </w:r>
      <w:r w:rsidR="00252250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apoyo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disponibles de manera gratuita en línea</w:t>
      </w:r>
      <w:r w:rsidR="00252250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>:</w:t>
      </w:r>
      <w:r w:rsidR="00BF3873"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</w:t>
      </w:r>
      <w:hyperlink r:id="rId12" w:history="1">
        <w:r w:rsidR="00BF3873" w:rsidRPr="00DA3082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MX"/>
            <w14:ligatures w14:val="none"/>
          </w:rPr>
          <w:t>https://apastyle.apa.org/style-grammar-guidelines/references/examples</w:t>
        </w:r>
      </w:hyperlink>
    </w:p>
    <w:p w14:paraId="54853BF1" w14:textId="6CCA2945" w:rsidR="003214B6" w:rsidRDefault="003214B6" w:rsidP="0025225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hyperlink r:id="rId13" w:history="1">
        <w:r w:rsidRPr="00DA3082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MX"/>
            <w14:ligatures w14:val="none"/>
          </w:rPr>
          <w:t>https://apastyle.apa.org/apa-style-help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 xml:space="preserve"> </w:t>
      </w:r>
    </w:p>
    <w:p w14:paraId="0ECB0FF7" w14:textId="13E6AAED" w:rsidR="00252250" w:rsidRPr="00252250" w:rsidRDefault="00252250" w:rsidP="0025225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  <w14:ligatures w14:val="none"/>
        </w:rPr>
        <w:tab/>
      </w:r>
    </w:p>
    <w:sectPr w:rsidR="00252250" w:rsidRPr="00252250" w:rsidSect="002F0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LENNY MONJARDIN OLIVAS" w:date="2024-05-12T13:27:00Z" w:initials="LMO">
    <w:p w14:paraId="16D81C21" w14:textId="77777777" w:rsidR="00F03624" w:rsidRDefault="00252250" w:rsidP="00F03624">
      <w:pPr>
        <w:pStyle w:val="Textocomentario"/>
      </w:pPr>
      <w:r>
        <w:rPr>
          <w:rStyle w:val="Refdecomentario"/>
        </w:rPr>
        <w:annotationRef/>
      </w:r>
      <w:r w:rsidR="00F03624">
        <w:t>Aquí vendría el link a ese subapartado, donde se dan las especificaciones de formato.</w:t>
      </w:r>
      <w:r w:rsidR="00F03624">
        <w:br/>
      </w:r>
      <w:r w:rsidR="00F03624">
        <w:br/>
        <w:t>Asimismo, este apartado deberá incluirse en un link en la sección Normas para publicación, en el fragmento de texto en el que se alude a la guía básica de citas y lista de referencias.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6D81C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45A29FC" w16cex:dateUtc="2024-05-12T2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6D81C21" w16cid:durableId="245A29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DF096" w14:textId="77777777" w:rsidR="002F0767" w:rsidRDefault="002F0767" w:rsidP="0080489C">
      <w:pPr>
        <w:spacing w:after="0" w:line="240" w:lineRule="auto"/>
      </w:pPr>
      <w:r>
        <w:separator/>
      </w:r>
    </w:p>
  </w:endnote>
  <w:endnote w:type="continuationSeparator" w:id="0">
    <w:p w14:paraId="61179618" w14:textId="77777777" w:rsidR="002F0767" w:rsidRDefault="002F0767" w:rsidP="0080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54B50" w14:textId="77777777" w:rsidR="002F0767" w:rsidRDefault="002F0767" w:rsidP="0080489C">
      <w:pPr>
        <w:spacing w:after="0" w:line="240" w:lineRule="auto"/>
      </w:pPr>
      <w:r>
        <w:separator/>
      </w:r>
    </w:p>
  </w:footnote>
  <w:footnote w:type="continuationSeparator" w:id="0">
    <w:p w14:paraId="6567973F" w14:textId="77777777" w:rsidR="002F0767" w:rsidRDefault="002F0767" w:rsidP="00804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D2BC3"/>
    <w:multiLevelType w:val="multilevel"/>
    <w:tmpl w:val="1434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220068"/>
    <w:multiLevelType w:val="multilevel"/>
    <w:tmpl w:val="9F10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856944">
    <w:abstractNumId w:val="1"/>
  </w:num>
  <w:num w:numId="2" w16cid:durableId="20982086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ENNY MONJARDIN OLIVAS">
    <w15:presenceInfo w15:providerId="AD" w15:userId="S::a215215020@unison.mx::232bbe3e-6e56-436a-94fc-6da6fc9306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50"/>
    <w:rsid w:val="00005601"/>
    <w:rsid w:val="00252250"/>
    <w:rsid w:val="00254C3F"/>
    <w:rsid w:val="002F0767"/>
    <w:rsid w:val="002F73C8"/>
    <w:rsid w:val="003214B6"/>
    <w:rsid w:val="00384D3D"/>
    <w:rsid w:val="003C4FD2"/>
    <w:rsid w:val="00405F6F"/>
    <w:rsid w:val="0055085E"/>
    <w:rsid w:val="006C19BC"/>
    <w:rsid w:val="0080489C"/>
    <w:rsid w:val="00954D36"/>
    <w:rsid w:val="00966A39"/>
    <w:rsid w:val="00970C29"/>
    <w:rsid w:val="00A16714"/>
    <w:rsid w:val="00B96862"/>
    <w:rsid w:val="00BF3873"/>
    <w:rsid w:val="00D50D17"/>
    <w:rsid w:val="00D57F7E"/>
    <w:rsid w:val="00EA6A13"/>
    <w:rsid w:val="00F03624"/>
    <w:rsid w:val="00F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B3F8B"/>
  <w15:chartTrackingRefBased/>
  <w15:docId w15:val="{54C41E47-9EF6-4E3C-B01A-1C16A1E6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2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2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22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2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22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2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2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2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2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2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2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2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22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225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22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22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22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22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2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2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2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2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2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22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22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225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2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225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225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5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252250"/>
    <w:rPr>
      <w:b/>
      <w:bCs/>
    </w:rPr>
  </w:style>
  <w:style w:type="paragraph" w:customStyle="1" w:styleId="show">
    <w:name w:val="show"/>
    <w:basedOn w:val="Normal"/>
    <w:rsid w:val="0025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  <w14:ligatures w14:val="none"/>
    </w:rPr>
  </w:style>
  <w:style w:type="character" w:styleId="nfasis">
    <w:name w:val="Emphasis"/>
    <w:basedOn w:val="Fuentedeprrafopredeter"/>
    <w:uiPriority w:val="20"/>
    <w:qFormat/>
    <w:rsid w:val="00252250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2522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522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522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22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2250"/>
    <w:rPr>
      <w:b/>
      <w:bCs/>
      <w:sz w:val="20"/>
      <w:szCs w:val="20"/>
    </w:rPr>
  </w:style>
  <w:style w:type="paragraph" w:customStyle="1" w:styleId="Textonotapie1">
    <w:name w:val="Texto nota pie1"/>
    <w:basedOn w:val="Normal"/>
    <w:next w:val="Textonotapie"/>
    <w:link w:val="TextonotapieCar"/>
    <w:unhideWhenUsed/>
    <w:rsid w:val="0080489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rsid w:val="0080489C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80489C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80489C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80489C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0489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0489C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3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apastyle.apa.org/apa-style-help" TargetMode="Externa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apastyle.apa.org/style-grammar-guidelines/references/exampl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astyle.apa.org/products/publication-manual-7th-edition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1462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LENNY MONJARDIN OLIVAS</dc:creator>
  <cp:keywords/>
  <dc:description/>
  <cp:lastModifiedBy>LENNY MONJARDIN OLIVAS</cp:lastModifiedBy>
  <cp:revision>1</cp:revision>
  <dcterms:created xsi:type="dcterms:W3CDTF">2024-05-12T20:22:00Z</dcterms:created>
  <dcterms:modified xsi:type="dcterms:W3CDTF">2024-05-12T23:35:00Z</dcterms:modified>
</cp:coreProperties>
</file>